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44"/>
          <w:szCs w:val="44"/>
          <w:shd w:val="clear" w:fill="FFFFFF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登封市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土壤污染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重点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监管单位名单公示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按照《郑州市生态环境局办公室关于印发2024年郑州市环境监管重点单位名录的通知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》（郑环办〔2024〕13号）要求，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登封市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土壤污染重点监管单位名单公示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如下：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郑州新昇表面科技有限公司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河南中美铝业有限公司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登封市嵩山钨钼材料有限公司</w:t>
      </w: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2024年3月29日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C2352E"/>
    <w:multiLevelType w:val="singleLevel"/>
    <w:tmpl w:val="ACC2352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ZmNhMDM4MTY0MTRjZGNiNTIyMTk0YjhlZjY3MGMifQ=="/>
  </w:docVars>
  <w:rsids>
    <w:rsidRoot w:val="3DE93BD0"/>
    <w:rsid w:val="2EEB2E42"/>
    <w:rsid w:val="3DE93BD0"/>
    <w:rsid w:val="6DC618A6"/>
    <w:rsid w:val="76E5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2024-04-18T03:25:00Z</dcterms:created>
  <dc:creator>天地王</dc:creator>
  <cp:lastModifiedBy>天地王</cp:lastModifiedBy>
  <dcterms:modified xsi:type="dcterms:W3CDTF">2024-04-18T03:45:25Z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4255C8F1BA9B4D749B88B17D7CA08BD9_11</vt:lpwstr>
  </property>
</Properties>
</file>